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DF98" w14:textId="77777777" w:rsidR="00262471" w:rsidRDefault="00262471" w:rsidP="00262471">
      <w:pPr>
        <w:spacing w:after="0" w:line="240" w:lineRule="auto"/>
        <w:ind w:left="0" w:firstLine="0"/>
        <w:jc w:val="center"/>
        <w:rPr>
          <w:b/>
          <w:sz w:val="32"/>
        </w:rPr>
      </w:pPr>
    </w:p>
    <w:p w14:paraId="41F3B9D0" w14:textId="77777777" w:rsidR="00262471" w:rsidRDefault="00262471" w:rsidP="00262471">
      <w:pPr>
        <w:spacing w:after="0" w:line="240" w:lineRule="auto"/>
        <w:ind w:left="0" w:firstLine="0"/>
        <w:jc w:val="center"/>
        <w:rPr>
          <w:b/>
          <w:sz w:val="32"/>
        </w:rPr>
      </w:pPr>
    </w:p>
    <w:p w14:paraId="42D1C731" w14:textId="77777777" w:rsidR="00262471" w:rsidRDefault="00262471" w:rsidP="00262471">
      <w:pPr>
        <w:spacing w:after="0" w:line="240" w:lineRule="auto"/>
        <w:ind w:left="0" w:firstLine="0"/>
        <w:jc w:val="center"/>
        <w:rPr>
          <w:b/>
          <w:sz w:val="32"/>
        </w:rPr>
      </w:pPr>
    </w:p>
    <w:p w14:paraId="40FCAA44" w14:textId="77777777" w:rsidR="00262471" w:rsidRDefault="00262471" w:rsidP="00262471">
      <w:pPr>
        <w:spacing w:after="0" w:line="240" w:lineRule="auto"/>
        <w:ind w:left="0" w:firstLine="0"/>
        <w:jc w:val="center"/>
        <w:rPr>
          <w:b/>
          <w:sz w:val="32"/>
        </w:rPr>
      </w:pPr>
    </w:p>
    <w:p w14:paraId="44F3B5C1" w14:textId="77777777" w:rsidR="00262471" w:rsidRDefault="00262471" w:rsidP="00262471">
      <w:pPr>
        <w:spacing w:after="0" w:line="240" w:lineRule="auto"/>
        <w:ind w:left="0" w:firstLine="0"/>
        <w:jc w:val="center"/>
        <w:rPr>
          <w:b/>
          <w:sz w:val="32"/>
        </w:rPr>
      </w:pPr>
      <w:r>
        <w:rPr>
          <w:b/>
          <w:noProof/>
          <w:sz w:val="32"/>
        </w:rPr>
        <w:drawing>
          <wp:inline distT="0" distB="0" distL="0" distR="0" wp14:anchorId="7B2B7239" wp14:editId="4CC9F5A8">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45B8E5C8" w14:textId="77777777" w:rsidR="00262471" w:rsidRDefault="00262471" w:rsidP="00262471">
      <w:pPr>
        <w:spacing w:after="0" w:line="240" w:lineRule="auto"/>
        <w:ind w:left="0" w:firstLine="0"/>
        <w:jc w:val="center"/>
        <w:rPr>
          <w:b/>
          <w:sz w:val="32"/>
        </w:rPr>
      </w:pPr>
    </w:p>
    <w:p w14:paraId="6E0E7CB4" w14:textId="77777777" w:rsidR="00262471" w:rsidRDefault="00262471" w:rsidP="00262471">
      <w:pPr>
        <w:spacing w:after="0" w:line="240" w:lineRule="auto"/>
        <w:ind w:left="0" w:firstLine="0"/>
        <w:jc w:val="center"/>
        <w:rPr>
          <w:b/>
          <w:sz w:val="32"/>
        </w:rPr>
      </w:pPr>
    </w:p>
    <w:p w14:paraId="471E932D" w14:textId="77777777" w:rsidR="00CD4A6B" w:rsidRDefault="00CD4A6B" w:rsidP="00262471">
      <w:pPr>
        <w:spacing w:after="0" w:line="240" w:lineRule="auto"/>
        <w:ind w:left="0" w:firstLine="0"/>
        <w:jc w:val="center"/>
        <w:rPr>
          <w:b/>
          <w:sz w:val="32"/>
          <w:u w:val="single"/>
        </w:rPr>
      </w:pPr>
      <w:r>
        <w:rPr>
          <w:b/>
          <w:sz w:val="32"/>
          <w:u w:val="single"/>
        </w:rPr>
        <w:t>Housing Policy</w:t>
      </w:r>
    </w:p>
    <w:p w14:paraId="7078A40A" w14:textId="77777777" w:rsidR="00CD4A6B" w:rsidRDefault="00CD4A6B" w:rsidP="00262471">
      <w:pPr>
        <w:spacing w:after="0" w:line="240" w:lineRule="auto"/>
        <w:ind w:left="0" w:firstLine="0"/>
        <w:jc w:val="center"/>
        <w:rPr>
          <w:b/>
          <w:sz w:val="32"/>
          <w:u w:val="single"/>
        </w:rPr>
      </w:pPr>
    </w:p>
    <w:p w14:paraId="4DEA7A99" w14:textId="77777777" w:rsidR="00CD4A6B" w:rsidRDefault="00CD4A6B" w:rsidP="00262471">
      <w:pPr>
        <w:spacing w:after="0" w:line="240" w:lineRule="auto"/>
        <w:ind w:left="0" w:firstLine="0"/>
        <w:jc w:val="center"/>
        <w:rPr>
          <w:b/>
          <w:sz w:val="32"/>
          <w:u w:val="single"/>
        </w:rPr>
      </w:pPr>
    </w:p>
    <w:tbl>
      <w:tblPr>
        <w:tblStyle w:val="TableGrid"/>
        <w:tblW w:w="0" w:type="auto"/>
        <w:tblLook w:val="04A0" w:firstRow="1" w:lastRow="0" w:firstColumn="1" w:lastColumn="0" w:noHBand="0" w:noVBand="1"/>
      </w:tblPr>
      <w:tblGrid>
        <w:gridCol w:w="3256"/>
        <w:gridCol w:w="2754"/>
        <w:gridCol w:w="3006"/>
      </w:tblGrid>
      <w:tr w:rsidR="00CD4A6B" w14:paraId="05C58E38" w14:textId="77777777" w:rsidTr="00CD4A6B">
        <w:tc>
          <w:tcPr>
            <w:tcW w:w="3256" w:type="dxa"/>
          </w:tcPr>
          <w:p w14:paraId="502D184B" w14:textId="044743C3" w:rsidR="00CD4A6B" w:rsidRPr="00CD4A6B" w:rsidRDefault="00CD4A6B" w:rsidP="00CD4A6B">
            <w:pPr>
              <w:spacing w:after="0" w:line="240" w:lineRule="auto"/>
              <w:ind w:left="0" w:firstLine="0"/>
              <w:rPr>
                <w:rFonts w:ascii="Helvetica" w:hAnsi="Helvetica"/>
                <w:bCs/>
              </w:rPr>
            </w:pPr>
            <w:r>
              <w:rPr>
                <w:rFonts w:ascii="Helvetica" w:hAnsi="Helvetica"/>
                <w:bCs/>
              </w:rPr>
              <w:t xml:space="preserve">Adopted on </w:t>
            </w:r>
          </w:p>
        </w:tc>
        <w:tc>
          <w:tcPr>
            <w:tcW w:w="2754" w:type="dxa"/>
          </w:tcPr>
          <w:p w14:paraId="6D09E197" w14:textId="69F921DB" w:rsidR="00CD4A6B" w:rsidRPr="00CD4A6B" w:rsidRDefault="00CD4A6B" w:rsidP="00CD4A6B">
            <w:pPr>
              <w:spacing w:after="0" w:line="240" w:lineRule="auto"/>
              <w:ind w:left="0" w:firstLine="0"/>
              <w:rPr>
                <w:rFonts w:ascii="Helvetica" w:hAnsi="Helvetica"/>
                <w:bCs/>
              </w:rPr>
            </w:pPr>
            <w:r>
              <w:rPr>
                <w:rFonts w:ascii="Helvetica" w:hAnsi="Helvetica"/>
                <w:bCs/>
              </w:rPr>
              <w:t>21 September 2020</w:t>
            </w:r>
          </w:p>
        </w:tc>
        <w:tc>
          <w:tcPr>
            <w:tcW w:w="3006" w:type="dxa"/>
          </w:tcPr>
          <w:p w14:paraId="2F2050B9" w14:textId="77777777" w:rsidR="00CD4A6B" w:rsidRPr="00CD4A6B" w:rsidRDefault="00CD4A6B" w:rsidP="00CD4A6B">
            <w:pPr>
              <w:spacing w:after="0" w:line="240" w:lineRule="auto"/>
              <w:ind w:left="0" w:firstLine="0"/>
              <w:rPr>
                <w:rFonts w:ascii="Helvetica" w:hAnsi="Helvetica"/>
                <w:bCs/>
              </w:rPr>
            </w:pPr>
          </w:p>
        </w:tc>
      </w:tr>
      <w:tr w:rsidR="00CD4A6B" w14:paraId="301E5EEA" w14:textId="77777777" w:rsidTr="00CD4A6B">
        <w:tc>
          <w:tcPr>
            <w:tcW w:w="3256" w:type="dxa"/>
            <w:vMerge w:val="restart"/>
            <w:vAlign w:val="center"/>
          </w:tcPr>
          <w:p w14:paraId="06EDB8FD" w14:textId="48AB79F6" w:rsidR="00CD4A6B" w:rsidRPr="00CD4A6B" w:rsidRDefault="00CD4A6B" w:rsidP="00CD4A6B">
            <w:pPr>
              <w:spacing w:after="0" w:line="240" w:lineRule="auto"/>
              <w:ind w:left="0" w:firstLine="0"/>
              <w:rPr>
                <w:rFonts w:ascii="Helvetica" w:hAnsi="Helvetica"/>
                <w:bCs/>
              </w:rPr>
            </w:pPr>
            <w:r>
              <w:rPr>
                <w:rFonts w:ascii="Helvetica" w:hAnsi="Helvetica"/>
                <w:bCs/>
              </w:rPr>
              <w:t>Reviewed and approved on</w:t>
            </w:r>
          </w:p>
        </w:tc>
        <w:tc>
          <w:tcPr>
            <w:tcW w:w="2754" w:type="dxa"/>
          </w:tcPr>
          <w:p w14:paraId="68DE6FB0" w14:textId="77777777" w:rsidR="00CD4A6B" w:rsidRPr="00CD4A6B" w:rsidRDefault="00CD4A6B" w:rsidP="00CD4A6B">
            <w:pPr>
              <w:spacing w:after="0" w:line="240" w:lineRule="auto"/>
              <w:ind w:left="0" w:firstLine="0"/>
              <w:rPr>
                <w:rFonts w:ascii="Helvetica" w:hAnsi="Helvetica"/>
                <w:bCs/>
              </w:rPr>
            </w:pPr>
          </w:p>
        </w:tc>
        <w:tc>
          <w:tcPr>
            <w:tcW w:w="3006" w:type="dxa"/>
          </w:tcPr>
          <w:p w14:paraId="386FB277" w14:textId="77777777" w:rsidR="00CD4A6B" w:rsidRPr="00CD4A6B" w:rsidRDefault="00CD4A6B" w:rsidP="00CD4A6B">
            <w:pPr>
              <w:spacing w:after="0" w:line="240" w:lineRule="auto"/>
              <w:ind w:left="0" w:firstLine="0"/>
              <w:rPr>
                <w:rFonts w:ascii="Helvetica" w:hAnsi="Helvetica"/>
                <w:bCs/>
              </w:rPr>
            </w:pPr>
          </w:p>
        </w:tc>
      </w:tr>
      <w:tr w:rsidR="00CD4A6B" w14:paraId="7F32E352" w14:textId="77777777" w:rsidTr="00CD4A6B">
        <w:tc>
          <w:tcPr>
            <w:tcW w:w="3256" w:type="dxa"/>
            <w:vMerge/>
          </w:tcPr>
          <w:p w14:paraId="182C0F20" w14:textId="77777777" w:rsidR="00CD4A6B" w:rsidRPr="00CD4A6B" w:rsidRDefault="00CD4A6B" w:rsidP="00CD4A6B">
            <w:pPr>
              <w:spacing w:after="0" w:line="240" w:lineRule="auto"/>
              <w:ind w:left="0" w:firstLine="0"/>
              <w:rPr>
                <w:rFonts w:ascii="Helvetica" w:hAnsi="Helvetica"/>
                <w:bCs/>
              </w:rPr>
            </w:pPr>
          </w:p>
        </w:tc>
        <w:tc>
          <w:tcPr>
            <w:tcW w:w="2754" w:type="dxa"/>
          </w:tcPr>
          <w:p w14:paraId="6D4D097A" w14:textId="77777777" w:rsidR="00CD4A6B" w:rsidRPr="00CD4A6B" w:rsidRDefault="00CD4A6B" w:rsidP="00CD4A6B">
            <w:pPr>
              <w:spacing w:after="0" w:line="240" w:lineRule="auto"/>
              <w:ind w:left="0" w:firstLine="0"/>
              <w:rPr>
                <w:rFonts w:ascii="Helvetica" w:hAnsi="Helvetica"/>
                <w:bCs/>
              </w:rPr>
            </w:pPr>
          </w:p>
        </w:tc>
        <w:tc>
          <w:tcPr>
            <w:tcW w:w="3006" w:type="dxa"/>
          </w:tcPr>
          <w:p w14:paraId="3F7178C5" w14:textId="77777777" w:rsidR="00CD4A6B" w:rsidRPr="00CD4A6B" w:rsidRDefault="00CD4A6B" w:rsidP="00CD4A6B">
            <w:pPr>
              <w:spacing w:after="0" w:line="240" w:lineRule="auto"/>
              <w:ind w:left="0" w:firstLine="0"/>
              <w:rPr>
                <w:rFonts w:ascii="Helvetica" w:hAnsi="Helvetica"/>
                <w:bCs/>
              </w:rPr>
            </w:pPr>
          </w:p>
        </w:tc>
      </w:tr>
      <w:tr w:rsidR="00CD4A6B" w14:paraId="47A67F7F" w14:textId="77777777" w:rsidTr="00CD4A6B">
        <w:tc>
          <w:tcPr>
            <w:tcW w:w="3256" w:type="dxa"/>
            <w:vMerge/>
          </w:tcPr>
          <w:p w14:paraId="5E47C51C" w14:textId="77777777" w:rsidR="00CD4A6B" w:rsidRPr="00CD4A6B" w:rsidRDefault="00CD4A6B" w:rsidP="00CD4A6B">
            <w:pPr>
              <w:spacing w:after="0" w:line="240" w:lineRule="auto"/>
              <w:ind w:left="0" w:firstLine="0"/>
              <w:rPr>
                <w:rFonts w:ascii="Helvetica" w:hAnsi="Helvetica"/>
                <w:bCs/>
              </w:rPr>
            </w:pPr>
          </w:p>
        </w:tc>
        <w:tc>
          <w:tcPr>
            <w:tcW w:w="2754" w:type="dxa"/>
          </w:tcPr>
          <w:p w14:paraId="0261BAFC" w14:textId="77777777" w:rsidR="00CD4A6B" w:rsidRPr="00CD4A6B" w:rsidRDefault="00CD4A6B" w:rsidP="00CD4A6B">
            <w:pPr>
              <w:spacing w:after="0" w:line="240" w:lineRule="auto"/>
              <w:ind w:left="0" w:firstLine="0"/>
              <w:rPr>
                <w:rFonts w:ascii="Helvetica" w:hAnsi="Helvetica"/>
                <w:bCs/>
              </w:rPr>
            </w:pPr>
          </w:p>
        </w:tc>
        <w:tc>
          <w:tcPr>
            <w:tcW w:w="3006" w:type="dxa"/>
          </w:tcPr>
          <w:p w14:paraId="7A4F1A07" w14:textId="77777777" w:rsidR="00CD4A6B" w:rsidRPr="00CD4A6B" w:rsidRDefault="00CD4A6B" w:rsidP="00CD4A6B">
            <w:pPr>
              <w:spacing w:after="0" w:line="240" w:lineRule="auto"/>
              <w:ind w:left="0" w:firstLine="0"/>
              <w:rPr>
                <w:rFonts w:ascii="Helvetica" w:hAnsi="Helvetica"/>
                <w:bCs/>
              </w:rPr>
            </w:pPr>
          </w:p>
        </w:tc>
      </w:tr>
      <w:tr w:rsidR="00CD4A6B" w14:paraId="726D3991" w14:textId="77777777" w:rsidTr="00CD4A6B">
        <w:tc>
          <w:tcPr>
            <w:tcW w:w="3256" w:type="dxa"/>
            <w:vMerge/>
          </w:tcPr>
          <w:p w14:paraId="59760CC4" w14:textId="77777777" w:rsidR="00CD4A6B" w:rsidRPr="00CD4A6B" w:rsidRDefault="00CD4A6B" w:rsidP="00CD4A6B">
            <w:pPr>
              <w:spacing w:after="0" w:line="240" w:lineRule="auto"/>
              <w:ind w:left="0" w:firstLine="0"/>
              <w:rPr>
                <w:rFonts w:ascii="Helvetica" w:hAnsi="Helvetica"/>
                <w:bCs/>
              </w:rPr>
            </w:pPr>
          </w:p>
        </w:tc>
        <w:tc>
          <w:tcPr>
            <w:tcW w:w="2754" w:type="dxa"/>
          </w:tcPr>
          <w:p w14:paraId="20D4AF0B" w14:textId="77777777" w:rsidR="00CD4A6B" w:rsidRPr="00CD4A6B" w:rsidRDefault="00CD4A6B" w:rsidP="00CD4A6B">
            <w:pPr>
              <w:spacing w:after="0" w:line="240" w:lineRule="auto"/>
              <w:ind w:left="0" w:firstLine="0"/>
              <w:rPr>
                <w:rFonts w:ascii="Helvetica" w:hAnsi="Helvetica"/>
                <w:bCs/>
              </w:rPr>
            </w:pPr>
          </w:p>
        </w:tc>
        <w:tc>
          <w:tcPr>
            <w:tcW w:w="3006" w:type="dxa"/>
          </w:tcPr>
          <w:p w14:paraId="1A4C0BCB" w14:textId="77777777" w:rsidR="00CD4A6B" w:rsidRPr="00CD4A6B" w:rsidRDefault="00CD4A6B" w:rsidP="00CD4A6B">
            <w:pPr>
              <w:spacing w:after="0" w:line="240" w:lineRule="auto"/>
              <w:ind w:left="0" w:firstLine="0"/>
              <w:rPr>
                <w:rFonts w:ascii="Helvetica" w:hAnsi="Helvetica"/>
                <w:bCs/>
              </w:rPr>
            </w:pPr>
          </w:p>
        </w:tc>
      </w:tr>
    </w:tbl>
    <w:p w14:paraId="5C1AE51E" w14:textId="5F39F7F6" w:rsidR="00262471" w:rsidRDefault="00262471" w:rsidP="00262471">
      <w:pPr>
        <w:spacing w:after="0" w:line="240" w:lineRule="auto"/>
        <w:ind w:left="0" w:firstLine="0"/>
        <w:jc w:val="center"/>
        <w:rPr>
          <w:b/>
          <w:sz w:val="32"/>
        </w:rPr>
      </w:pPr>
      <w:r>
        <w:rPr>
          <w:b/>
          <w:sz w:val="32"/>
        </w:rPr>
        <w:br w:type="page"/>
      </w:r>
    </w:p>
    <w:p w14:paraId="26F38E5B" w14:textId="49123F80" w:rsidR="00782995" w:rsidRPr="00A91613" w:rsidRDefault="00782995">
      <w:pPr>
        <w:spacing w:after="0" w:line="399" w:lineRule="auto"/>
        <w:ind w:left="2391" w:right="2089" w:firstLine="0"/>
        <w:jc w:val="center"/>
        <w:rPr>
          <w:b/>
          <w:sz w:val="32"/>
          <w:u w:val="single"/>
        </w:rPr>
      </w:pPr>
      <w:r w:rsidRPr="00A91613">
        <w:rPr>
          <w:b/>
          <w:sz w:val="32"/>
          <w:u w:val="single"/>
        </w:rPr>
        <w:lastRenderedPageBreak/>
        <w:t>Dent with Cowgill Parish Council</w:t>
      </w:r>
    </w:p>
    <w:p w14:paraId="385DFDB4" w14:textId="518EE565" w:rsidR="00782995" w:rsidRPr="00A91613" w:rsidRDefault="00782995">
      <w:pPr>
        <w:spacing w:after="0" w:line="399" w:lineRule="auto"/>
        <w:ind w:left="2391" w:right="2089" w:firstLine="0"/>
        <w:jc w:val="center"/>
        <w:rPr>
          <w:b/>
          <w:sz w:val="32"/>
          <w:u w:val="single"/>
        </w:rPr>
      </w:pPr>
      <w:r w:rsidRPr="00A91613">
        <w:rPr>
          <w:b/>
          <w:sz w:val="32"/>
          <w:u w:val="single"/>
        </w:rPr>
        <w:t>Housing Policy</w:t>
      </w:r>
    </w:p>
    <w:p w14:paraId="4F836502" w14:textId="77777777" w:rsidR="00782995" w:rsidRPr="00782995" w:rsidRDefault="00782995" w:rsidP="00782995">
      <w:pPr>
        <w:spacing w:after="0" w:line="399" w:lineRule="auto"/>
        <w:ind w:left="1843" w:right="1513" w:firstLine="0"/>
        <w:jc w:val="center"/>
        <w:rPr>
          <w:sz w:val="21"/>
          <w:szCs w:val="21"/>
        </w:rPr>
      </w:pPr>
    </w:p>
    <w:p w14:paraId="2ECD91A4" w14:textId="7EC6E9FF" w:rsidR="00437CED" w:rsidRDefault="004B6D2C">
      <w:pPr>
        <w:spacing w:after="207"/>
        <w:ind w:left="0" w:firstLine="0"/>
      </w:pPr>
      <w:r>
        <w:t>Dent with Cowgill</w:t>
      </w:r>
      <w:r w:rsidR="00201B38">
        <w:t xml:space="preserve"> Parish Council works to shape the environment of </w:t>
      </w:r>
      <w:r>
        <w:t>Dentdale</w:t>
      </w:r>
      <w:r w:rsidR="00201B38">
        <w:t xml:space="preserve"> by commenting, as a statutory consultee, on all planning applications in its area and by working co-operatively with </w:t>
      </w:r>
      <w:r>
        <w:t>Yorkshire Dales National Park Authority</w:t>
      </w:r>
      <w:r w:rsidR="00201B38">
        <w:t xml:space="preserve"> which is the decision-making authority on planning matters.   </w:t>
      </w:r>
    </w:p>
    <w:p w14:paraId="59F60D83" w14:textId="3E0F1AD1" w:rsidR="00782995" w:rsidRDefault="00782995">
      <w:pPr>
        <w:spacing w:after="207"/>
        <w:ind w:left="0" w:firstLine="0"/>
      </w:pPr>
      <w:r>
        <w:t>One of the stated objectives of the council is to support the School and Pre-School in the village in order to continue to attract families to the dale.</w:t>
      </w:r>
    </w:p>
    <w:p w14:paraId="300BC789" w14:textId="268D5DAB" w:rsidR="00782995" w:rsidRDefault="00782995">
      <w:pPr>
        <w:spacing w:after="207"/>
        <w:ind w:left="0" w:firstLine="0"/>
      </w:pPr>
      <w:r>
        <w:t xml:space="preserve">Through its policy on Second Homes and Holiday Let properties, the council has been seeking to </w:t>
      </w:r>
      <w:r w:rsidR="00201B38">
        <w:t>provide opportunities for families to live and work in the dale but recognises that there is more that can be done.</w:t>
      </w:r>
    </w:p>
    <w:p w14:paraId="138AAD5B" w14:textId="61DF4A36" w:rsidR="00201B38" w:rsidRDefault="00201B38">
      <w:pPr>
        <w:spacing w:after="207"/>
        <w:ind w:left="0" w:firstLine="0"/>
      </w:pPr>
      <w:r>
        <w:t>This policy aims to set out the council’s policy on providing new, social and affordable housing to attract and keep young families in the dale, thus protecting the future of the school and pre-school.</w:t>
      </w:r>
      <w:r w:rsidR="00D43A47">
        <w:t xml:space="preserve"> The policy has been written </w:t>
      </w:r>
      <w:r w:rsidR="00A15BF9">
        <w:t>with the YDNPA Local Plan 2015-2030 in mind</w:t>
      </w:r>
      <w:r w:rsidR="00250E3C">
        <w:t>.</w:t>
      </w:r>
      <w:r w:rsidR="00A15BF9">
        <w:t xml:space="preserve"> </w:t>
      </w:r>
    </w:p>
    <w:p w14:paraId="1F591A58" w14:textId="5079E2A3" w:rsidR="00437CED" w:rsidRDefault="00201B38">
      <w:pPr>
        <w:ind w:left="0" w:firstLine="0"/>
      </w:pPr>
      <w:r>
        <w:t xml:space="preserve">Specifically, </w:t>
      </w:r>
      <w:r w:rsidR="004B6D2C">
        <w:t xml:space="preserve">Dent with Cowgill </w:t>
      </w:r>
      <w:r>
        <w:t xml:space="preserve">Parish Council will </w:t>
      </w:r>
    </w:p>
    <w:p w14:paraId="38546CAC" w14:textId="0D93675F" w:rsidR="00437CED" w:rsidRDefault="00201B38">
      <w:pPr>
        <w:numPr>
          <w:ilvl w:val="0"/>
          <w:numId w:val="1"/>
        </w:numPr>
      </w:pPr>
      <w:r>
        <w:t xml:space="preserve">seek to maintain the unique character and feel of </w:t>
      </w:r>
      <w:r w:rsidR="00782995">
        <w:t>Dentdale</w:t>
      </w:r>
      <w:r>
        <w:t xml:space="preserve">, particularly in the Conservation Area, by opposing inappropriate design or development.  Housing development should be sympathetic to the existing street scene </w:t>
      </w:r>
    </w:p>
    <w:p w14:paraId="6AF158E3" w14:textId="59220EB0" w:rsidR="00201B38" w:rsidRDefault="00201B38">
      <w:pPr>
        <w:numPr>
          <w:ilvl w:val="0"/>
          <w:numId w:val="1"/>
        </w:numPr>
      </w:pPr>
      <w:r>
        <w:t xml:space="preserve">seek to identify land that could be used for small developments of affordable housing </w:t>
      </w:r>
      <w:r w:rsidR="00D943CF">
        <w:t>in addition to the two areas already allocated for this purpose by YDNPA</w:t>
      </w:r>
    </w:p>
    <w:p w14:paraId="7C46E1D5" w14:textId="151EAB42" w:rsidR="00201B38" w:rsidRDefault="00201B38">
      <w:pPr>
        <w:numPr>
          <w:ilvl w:val="0"/>
          <w:numId w:val="1"/>
        </w:numPr>
      </w:pPr>
      <w:r>
        <w:t>seek to increase the number of social housing properties in the da</w:t>
      </w:r>
      <w:r w:rsidR="00F45CBB">
        <w:t>le</w:t>
      </w:r>
    </w:p>
    <w:p w14:paraId="42ED9834" w14:textId="4A7185EF" w:rsidR="00B10736" w:rsidRDefault="00B10736">
      <w:pPr>
        <w:numPr>
          <w:ilvl w:val="0"/>
          <w:numId w:val="1"/>
        </w:numPr>
      </w:pPr>
      <w:r>
        <w:t xml:space="preserve">seek to ensure that any new developments contain a mix of property types including </w:t>
      </w:r>
      <w:r w:rsidR="00B70497">
        <w:t xml:space="preserve">accessible and single storey properties for disabled </w:t>
      </w:r>
      <w:r w:rsidR="00CA63BD">
        <w:t xml:space="preserve">residents, </w:t>
      </w:r>
      <w:r w:rsidR="00F45CBB">
        <w:t>starter homes and homes for families</w:t>
      </w:r>
    </w:p>
    <w:p w14:paraId="5673077C" w14:textId="6BEF9977" w:rsidR="00437CED" w:rsidRDefault="00201B38">
      <w:pPr>
        <w:numPr>
          <w:ilvl w:val="0"/>
          <w:numId w:val="1"/>
        </w:numPr>
      </w:pPr>
      <w:r>
        <w:t xml:space="preserve">seek to ensure that a range of affordable housing is included in future housing developments, enabling </w:t>
      </w:r>
      <w:r w:rsidR="00782995">
        <w:t>Dentdale</w:t>
      </w:r>
      <w:r>
        <w:t xml:space="preserve"> to be home to people of all ages. The Council expects Yorkshire Dales National Park Authority to ensure that </w:t>
      </w:r>
      <w:r w:rsidR="00EA3E64">
        <w:t>50</w:t>
      </w:r>
      <w:r>
        <w:t xml:space="preserve">% of developments of 11 houses or more will be affordable homes, as defined </w:t>
      </w:r>
      <w:r w:rsidR="00EA3E64">
        <w:t>in the Local Plan 2015-</w:t>
      </w:r>
      <w:r w:rsidR="00250E3C">
        <w:t>2030</w:t>
      </w:r>
    </w:p>
    <w:p w14:paraId="60ED23A1" w14:textId="30876F2D" w:rsidR="00437CED" w:rsidRDefault="00201B38" w:rsidP="004C5A06">
      <w:pPr>
        <w:numPr>
          <w:ilvl w:val="0"/>
          <w:numId w:val="1"/>
        </w:numPr>
      </w:pPr>
      <w:r>
        <w:t>look into all methods of providing social and affordable housing, including Community Led Housing Plans</w:t>
      </w:r>
    </w:p>
    <w:sectPr w:rsidR="00437CED" w:rsidSect="00F45CBB">
      <w:pgSz w:w="11906" w:h="16838"/>
      <w:pgMar w:top="1440" w:right="1440" w:bottom="68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F8659" w14:textId="77777777" w:rsidR="006D28AB" w:rsidRDefault="006D28AB" w:rsidP="00327EB8">
      <w:pPr>
        <w:spacing w:after="0" w:line="240" w:lineRule="auto"/>
      </w:pPr>
      <w:r>
        <w:separator/>
      </w:r>
    </w:p>
  </w:endnote>
  <w:endnote w:type="continuationSeparator" w:id="0">
    <w:p w14:paraId="38B2C71F" w14:textId="77777777" w:rsidR="006D28AB" w:rsidRDefault="006D28AB" w:rsidP="0032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6CFE4" w14:textId="77777777" w:rsidR="006D28AB" w:rsidRDefault="006D28AB" w:rsidP="00327EB8">
      <w:pPr>
        <w:spacing w:after="0" w:line="240" w:lineRule="auto"/>
      </w:pPr>
      <w:r>
        <w:separator/>
      </w:r>
    </w:p>
  </w:footnote>
  <w:footnote w:type="continuationSeparator" w:id="0">
    <w:p w14:paraId="02D3F07A" w14:textId="77777777" w:rsidR="006D28AB" w:rsidRDefault="006D28AB" w:rsidP="00327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78D2"/>
    <w:multiLevelType w:val="hybridMultilevel"/>
    <w:tmpl w:val="B8C4CB94"/>
    <w:lvl w:ilvl="0" w:tplc="6F44F7D6">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C87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A894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6636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AC7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9448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A2C7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E78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1C14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D"/>
    <w:rsid w:val="00201B38"/>
    <w:rsid w:val="00250E3C"/>
    <w:rsid w:val="00262471"/>
    <w:rsid w:val="00327EB8"/>
    <w:rsid w:val="00437CED"/>
    <w:rsid w:val="004B6D2C"/>
    <w:rsid w:val="004C5A06"/>
    <w:rsid w:val="00636AF0"/>
    <w:rsid w:val="006D28AB"/>
    <w:rsid w:val="00782995"/>
    <w:rsid w:val="00A15BF9"/>
    <w:rsid w:val="00A91613"/>
    <w:rsid w:val="00AB7A9A"/>
    <w:rsid w:val="00B10736"/>
    <w:rsid w:val="00B70497"/>
    <w:rsid w:val="00CA63BD"/>
    <w:rsid w:val="00CC7FF4"/>
    <w:rsid w:val="00CD4A6B"/>
    <w:rsid w:val="00D43A47"/>
    <w:rsid w:val="00D943CF"/>
    <w:rsid w:val="00EA3E64"/>
    <w:rsid w:val="00F4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775735"/>
  <w15:docId w15:val="{25C3339E-986C-AB43-B48A-B58A075C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1" w:line="268" w:lineRule="auto"/>
      <w:ind w:left="370" w:hanging="370"/>
    </w:pPr>
    <w:rPr>
      <w:rFonts w:ascii="Calibri" w:eastAsia="Calibri" w:hAnsi="Calibri" w:cs="Calibri"/>
      <w:color w:val="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B8"/>
    <w:rPr>
      <w:rFonts w:ascii="Calibri" w:eastAsia="Calibri" w:hAnsi="Calibri" w:cs="Calibri"/>
      <w:color w:val="000000"/>
      <w:lang w:bidi="en-GB"/>
    </w:rPr>
  </w:style>
  <w:style w:type="paragraph" w:styleId="Footer">
    <w:name w:val="footer"/>
    <w:basedOn w:val="Normal"/>
    <w:link w:val="FooterChar"/>
    <w:uiPriority w:val="99"/>
    <w:unhideWhenUsed/>
    <w:rsid w:val="00327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B8"/>
    <w:rPr>
      <w:rFonts w:ascii="Calibri" w:eastAsia="Calibri" w:hAnsi="Calibri" w:cs="Calibri"/>
      <w:color w:val="000000"/>
      <w:lang w:bidi="en-GB"/>
    </w:rPr>
  </w:style>
  <w:style w:type="table" w:styleId="TableGrid">
    <w:name w:val="Table Grid"/>
    <w:basedOn w:val="TableNormal"/>
    <w:uiPriority w:val="39"/>
    <w:rsid w:val="00CD4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cp:lastModifiedBy>Scott Thornley</cp:lastModifiedBy>
  <cp:revision>17</cp:revision>
  <dcterms:created xsi:type="dcterms:W3CDTF">2020-08-06T13:39:00Z</dcterms:created>
  <dcterms:modified xsi:type="dcterms:W3CDTF">2021-05-18T14:54:00Z</dcterms:modified>
</cp:coreProperties>
</file>