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D330C8" w14:textId="77777777" w:rsidR="004F5651" w:rsidRDefault="004F5651" w:rsidP="004F5651">
      <w:pPr>
        <w:spacing w:after="120"/>
        <w:jc w:val="center"/>
        <w:rPr>
          <w:rFonts w:ascii="Helvetica" w:hAnsi="Helvetica"/>
          <w:b/>
          <w:sz w:val="36"/>
          <w:szCs w:val="36"/>
          <w:u w:val="single"/>
        </w:rPr>
      </w:pPr>
    </w:p>
    <w:p w14:paraId="5E267ECD" w14:textId="77777777" w:rsidR="004F5651" w:rsidRDefault="004F5651" w:rsidP="004F5651">
      <w:pPr>
        <w:spacing w:after="120"/>
        <w:jc w:val="center"/>
        <w:rPr>
          <w:rFonts w:ascii="Helvetica" w:hAnsi="Helvetica"/>
          <w:b/>
          <w:sz w:val="36"/>
          <w:szCs w:val="36"/>
          <w:u w:val="single"/>
        </w:rPr>
      </w:pPr>
    </w:p>
    <w:p w14:paraId="4B89FEB7" w14:textId="77777777" w:rsidR="004F5651" w:rsidRDefault="004F5651" w:rsidP="004F5651">
      <w:pPr>
        <w:spacing w:after="120"/>
        <w:jc w:val="center"/>
        <w:rPr>
          <w:rFonts w:ascii="Helvetica" w:hAnsi="Helvetica"/>
          <w:b/>
          <w:sz w:val="36"/>
          <w:szCs w:val="36"/>
          <w:u w:val="single"/>
        </w:rPr>
      </w:pPr>
    </w:p>
    <w:p w14:paraId="0FDF2EFB" w14:textId="05DB5CF6" w:rsidR="004F5651" w:rsidRDefault="004F5651" w:rsidP="004F5651">
      <w:pPr>
        <w:spacing w:after="120"/>
        <w:jc w:val="center"/>
        <w:rPr>
          <w:rFonts w:ascii="Helvetica" w:hAnsi="Helvetica"/>
          <w:b/>
          <w:sz w:val="36"/>
          <w:szCs w:val="36"/>
          <w:u w:val="single"/>
        </w:rPr>
      </w:pPr>
      <w:r>
        <w:rPr>
          <w:rFonts w:ascii="Helvetica" w:hAnsi="Helvetica"/>
          <w:b/>
          <w:noProof/>
          <w:sz w:val="36"/>
          <w:szCs w:val="36"/>
          <w:u w:val="single"/>
        </w:rPr>
        <w:drawing>
          <wp:inline distT="0" distB="0" distL="0" distR="0" wp14:anchorId="1D85551B" wp14:editId="1F1EBDE2">
            <wp:extent cx="2159000" cy="1054100"/>
            <wp:effectExtent l="0" t="0" r="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159000" cy="1054100"/>
                    </a:xfrm>
                    <a:prstGeom prst="rect">
                      <a:avLst/>
                    </a:prstGeom>
                  </pic:spPr>
                </pic:pic>
              </a:graphicData>
            </a:graphic>
          </wp:inline>
        </w:drawing>
      </w:r>
    </w:p>
    <w:p w14:paraId="001A1AE5" w14:textId="77777777" w:rsidR="004F5651" w:rsidRDefault="004F5651" w:rsidP="004F5651">
      <w:pPr>
        <w:spacing w:after="120"/>
        <w:jc w:val="center"/>
        <w:rPr>
          <w:rFonts w:ascii="Helvetica" w:hAnsi="Helvetica"/>
          <w:b/>
          <w:sz w:val="36"/>
          <w:szCs w:val="36"/>
          <w:u w:val="single"/>
        </w:rPr>
      </w:pPr>
    </w:p>
    <w:p w14:paraId="04867027" w14:textId="4C6D0179" w:rsidR="004F5651" w:rsidRDefault="004F5651" w:rsidP="004F5651">
      <w:pPr>
        <w:spacing w:after="120"/>
        <w:jc w:val="center"/>
        <w:rPr>
          <w:rFonts w:ascii="Helvetica" w:hAnsi="Helvetica"/>
          <w:b/>
          <w:sz w:val="36"/>
          <w:szCs w:val="36"/>
          <w:u w:val="single"/>
        </w:rPr>
      </w:pPr>
      <w:r>
        <w:rPr>
          <w:rFonts w:ascii="Helvetica" w:hAnsi="Helvetica"/>
          <w:b/>
          <w:sz w:val="36"/>
          <w:szCs w:val="36"/>
          <w:u w:val="single"/>
        </w:rPr>
        <w:t>Holiday Let Planning</w:t>
      </w:r>
      <w:r>
        <w:rPr>
          <w:rFonts w:ascii="Helvetica" w:hAnsi="Helvetica"/>
          <w:b/>
          <w:sz w:val="36"/>
          <w:szCs w:val="36"/>
          <w:u w:val="single"/>
        </w:rPr>
        <w:t xml:space="preserve"> Policy</w:t>
      </w:r>
    </w:p>
    <w:p w14:paraId="34893B0C" w14:textId="77777777" w:rsidR="004F5651" w:rsidRDefault="004F5651" w:rsidP="004F5651">
      <w:pPr>
        <w:spacing w:after="120"/>
        <w:jc w:val="center"/>
        <w:rPr>
          <w:rFonts w:ascii="Helvetica" w:hAnsi="Helvetica"/>
          <w:b/>
          <w:sz w:val="36"/>
          <w:szCs w:val="36"/>
          <w:u w:val="single"/>
        </w:rPr>
      </w:pPr>
    </w:p>
    <w:p w14:paraId="0FAB0A06" w14:textId="77777777" w:rsidR="004F5651" w:rsidRDefault="004F5651" w:rsidP="004F5651">
      <w:pPr>
        <w:spacing w:after="120"/>
        <w:jc w:val="center"/>
        <w:rPr>
          <w:rFonts w:ascii="Helvetica" w:hAnsi="Helvetica"/>
          <w:b/>
          <w:sz w:val="36"/>
          <w:szCs w:val="3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1"/>
        <w:gridCol w:w="2438"/>
        <w:gridCol w:w="2973"/>
      </w:tblGrid>
      <w:tr w:rsidR="004F5651" w:rsidRPr="009248B6" w14:paraId="7357DAFF" w14:textId="77777777" w:rsidTr="009C12E8">
        <w:tc>
          <w:tcPr>
            <w:tcW w:w="3652" w:type="dxa"/>
            <w:shd w:val="clear" w:color="auto" w:fill="auto"/>
          </w:tcPr>
          <w:p w14:paraId="2FAC407D" w14:textId="77777777" w:rsidR="004F5651" w:rsidRPr="009248B6" w:rsidRDefault="004F5651" w:rsidP="009C12E8">
            <w:pPr>
              <w:spacing w:after="120"/>
              <w:rPr>
                <w:rFonts w:ascii="Helvetica" w:hAnsi="Helvetica"/>
                <w:bCs/>
              </w:rPr>
            </w:pPr>
            <w:r w:rsidRPr="009248B6">
              <w:rPr>
                <w:rFonts w:ascii="Helvetica" w:hAnsi="Helvetica"/>
                <w:bCs/>
              </w:rPr>
              <w:t xml:space="preserve">Policy adopted on </w:t>
            </w:r>
          </w:p>
        </w:tc>
        <w:tc>
          <w:tcPr>
            <w:tcW w:w="2492" w:type="dxa"/>
            <w:shd w:val="clear" w:color="auto" w:fill="auto"/>
          </w:tcPr>
          <w:p w14:paraId="7E32D55C" w14:textId="68B9DA42" w:rsidR="004F5651" w:rsidRPr="009248B6" w:rsidRDefault="004F5651" w:rsidP="009C12E8">
            <w:pPr>
              <w:spacing w:after="120"/>
              <w:rPr>
                <w:rFonts w:ascii="Helvetica" w:hAnsi="Helvetica"/>
                <w:bCs/>
              </w:rPr>
            </w:pPr>
            <w:r>
              <w:rPr>
                <w:rFonts w:ascii="Helvetica" w:hAnsi="Helvetica"/>
                <w:bCs/>
              </w:rPr>
              <w:t>04 March 2019</w:t>
            </w:r>
          </w:p>
        </w:tc>
        <w:tc>
          <w:tcPr>
            <w:tcW w:w="3072" w:type="dxa"/>
            <w:shd w:val="clear" w:color="auto" w:fill="auto"/>
          </w:tcPr>
          <w:p w14:paraId="7F3019B9" w14:textId="77777777" w:rsidR="004F5651" w:rsidRPr="009248B6" w:rsidRDefault="004F5651" w:rsidP="009C12E8">
            <w:pPr>
              <w:spacing w:after="120"/>
              <w:rPr>
                <w:rFonts w:ascii="Helvetica" w:hAnsi="Helvetica"/>
                <w:bCs/>
              </w:rPr>
            </w:pPr>
          </w:p>
        </w:tc>
      </w:tr>
      <w:tr w:rsidR="004F5651" w:rsidRPr="009248B6" w14:paraId="43D02181" w14:textId="77777777" w:rsidTr="009C12E8">
        <w:tc>
          <w:tcPr>
            <w:tcW w:w="3652" w:type="dxa"/>
            <w:vMerge w:val="restart"/>
            <w:shd w:val="clear" w:color="auto" w:fill="auto"/>
            <w:vAlign w:val="center"/>
          </w:tcPr>
          <w:p w14:paraId="0C794E2B" w14:textId="77777777" w:rsidR="004F5651" w:rsidRPr="009248B6" w:rsidRDefault="004F5651" w:rsidP="009C12E8">
            <w:pPr>
              <w:spacing w:after="120"/>
              <w:rPr>
                <w:rFonts w:ascii="Helvetica" w:hAnsi="Helvetica"/>
                <w:bCs/>
              </w:rPr>
            </w:pPr>
            <w:r w:rsidRPr="009248B6">
              <w:rPr>
                <w:rFonts w:ascii="Helvetica" w:hAnsi="Helvetica"/>
                <w:bCs/>
              </w:rPr>
              <w:t xml:space="preserve">Reviewed and approved on </w:t>
            </w:r>
          </w:p>
        </w:tc>
        <w:tc>
          <w:tcPr>
            <w:tcW w:w="2492" w:type="dxa"/>
            <w:shd w:val="clear" w:color="auto" w:fill="auto"/>
          </w:tcPr>
          <w:p w14:paraId="24B87FE5" w14:textId="77777777" w:rsidR="004F5651" w:rsidRPr="009248B6" w:rsidRDefault="004F5651" w:rsidP="009C12E8">
            <w:pPr>
              <w:spacing w:after="120"/>
              <w:rPr>
                <w:rFonts w:ascii="Helvetica" w:hAnsi="Helvetica"/>
                <w:bCs/>
              </w:rPr>
            </w:pPr>
            <w:r>
              <w:rPr>
                <w:rFonts w:ascii="Helvetica" w:hAnsi="Helvetica"/>
                <w:bCs/>
              </w:rPr>
              <w:t>07 June 2021</w:t>
            </w:r>
          </w:p>
        </w:tc>
        <w:tc>
          <w:tcPr>
            <w:tcW w:w="3072" w:type="dxa"/>
            <w:shd w:val="clear" w:color="auto" w:fill="auto"/>
          </w:tcPr>
          <w:p w14:paraId="550F377A" w14:textId="77777777" w:rsidR="004F5651" w:rsidRPr="009248B6" w:rsidRDefault="004F5651" w:rsidP="009C12E8">
            <w:pPr>
              <w:spacing w:after="120"/>
              <w:rPr>
                <w:rFonts w:ascii="Helvetica" w:hAnsi="Helvetica"/>
                <w:bCs/>
              </w:rPr>
            </w:pPr>
          </w:p>
        </w:tc>
      </w:tr>
      <w:tr w:rsidR="004F5651" w:rsidRPr="009248B6" w14:paraId="4B086792" w14:textId="77777777" w:rsidTr="009C12E8">
        <w:tc>
          <w:tcPr>
            <w:tcW w:w="3652" w:type="dxa"/>
            <w:vMerge/>
            <w:shd w:val="clear" w:color="auto" w:fill="auto"/>
          </w:tcPr>
          <w:p w14:paraId="22A23811" w14:textId="77777777" w:rsidR="004F5651" w:rsidRPr="009248B6" w:rsidRDefault="004F5651" w:rsidP="009C12E8">
            <w:pPr>
              <w:spacing w:after="120"/>
              <w:rPr>
                <w:rFonts w:ascii="Helvetica" w:hAnsi="Helvetica"/>
                <w:bCs/>
              </w:rPr>
            </w:pPr>
          </w:p>
        </w:tc>
        <w:tc>
          <w:tcPr>
            <w:tcW w:w="2492" w:type="dxa"/>
            <w:shd w:val="clear" w:color="auto" w:fill="auto"/>
          </w:tcPr>
          <w:p w14:paraId="444DB4B9" w14:textId="77777777" w:rsidR="004F5651" w:rsidRPr="009248B6" w:rsidRDefault="004F5651" w:rsidP="009C12E8">
            <w:pPr>
              <w:spacing w:after="120"/>
              <w:rPr>
                <w:rFonts w:ascii="Helvetica" w:hAnsi="Helvetica"/>
                <w:bCs/>
              </w:rPr>
            </w:pPr>
          </w:p>
        </w:tc>
        <w:tc>
          <w:tcPr>
            <w:tcW w:w="3072" w:type="dxa"/>
            <w:shd w:val="clear" w:color="auto" w:fill="auto"/>
          </w:tcPr>
          <w:p w14:paraId="741B0129" w14:textId="77777777" w:rsidR="004F5651" w:rsidRPr="009248B6" w:rsidRDefault="004F5651" w:rsidP="009C12E8">
            <w:pPr>
              <w:spacing w:after="120"/>
              <w:rPr>
                <w:rFonts w:ascii="Helvetica" w:hAnsi="Helvetica"/>
                <w:bCs/>
              </w:rPr>
            </w:pPr>
          </w:p>
        </w:tc>
      </w:tr>
      <w:tr w:rsidR="004F5651" w:rsidRPr="009248B6" w14:paraId="4F2113B0" w14:textId="77777777" w:rsidTr="009C12E8">
        <w:tc>
          <w:tcPr>
            <w:tcW w:w="3652" w:type="dxa"/>
            <w:vMerge/>
            <w:shd w:val="clear" w:color="auto" w:fill="auto"/>
          </w:tcPr>
          <w:p w14:paraId="1C7A389D" w14:textId="77777777" w:rsidR="004F5651" w:rsidRPr="009248B6" w:rsidRDefault="004F5651" w:rsidP="009C12E8">
            <w:pPr>
              <w:spacing w:after="120"/>
              <w:rPr>
                <w:rFonts w:ascii="Helvetica" w:hAnsi="Helvetica"/>
                <w:bCs/>
              </w:rPr>
            </w:pPr>
          </w:p>
        </w:tc>
        <w:tc>
          <w:tcPr>
            <w:tcW w:w="2492" w:type="dxa"/>
            <w:shd w:val="clear" w:color="auto" w:fill="auto"/>
          </w:tcPr>
          <w:p w14:paraId="17DA9A15" w14:textId="77777777" w:rsidR="004F5651" w:rsidRPr="009248B6" w:rsidRDefault="004F5651" w:rsidP="009C12E8">
            <w:pPr>
              <w:spacing w:after="120"/>
              <w:rPr>
                <w:rFonts w:ascii="Helvetica" w:hAnsi="Helvetica"/>
                <w:bCs/>
              </w:rPr>
            </w:pPr>
          </w:p>
        </w:tc>
        <w:tc>
          <w:tcPr>
            <w:tcW w:w="3072" w:type="dxa"/>
            <w:shd w:val="clear" w:color="auto" w:fill="auto"/>
          </w:tcPr>
          <w:p w14:paraId="3855D033" w14:textId="77777777" w:rsidR="004F5651" w:rsidRPr="009248B6" w:rsidRDefault="004F5651" w:rsidP="009C12E8">
            <w:pPr>
              <w:spacing w:after="120"/>
              <w:rPr>
                <w:rFonts w:ascii="Helvetica" w:hAnsi="Helvetica"/>
                <w:bCs/>
              </w:rPr>
            </w:pPr>
          </w:p>
        </w:tc>
      </w:tr>
      <w:tr w:rsidR="004F5651" w:rsidRPr="009248B6" w14:paraId="287496A5" w14:textId="77777777" w:rsidTr="009C12E8">
        <w:tc>
          <w:tcPr>
            <w:tcW w:w="3652" w:type="dxa"/>
            <w:vMerge/>
            <w:shd w:val="clear" w:color="auto" w:fill="auto"/>
          </w:tcPr>
          <w:p w14:paraId="42FD14A3" w14:textId="77777777" w:rsidR="004F5651" w:rsidRPr="009248B6" w:rsidRDefault="004F5651" w:rsidP="009C12E8">
            <w:pPr>
              <w:spacing w:after="120"/>
              <w:rPr>
                <w:rFonts w:ascii="Helvetica" w:hAnsi="Helvetica"/>
                <w:bCs/>
              </w:rPr>
            </w:pPr>
          </w:p>
        </w:tc>
        <w:tc>
          <w:tcPr>
            <w:tcW w:w="2492" w:type="dxa"/>
            <w:shd w:val="clear" w:color="auto" w:fill="auto"/>
          </w:tcPr>
          <w:p w14:paraId="020D98EB" w14:textId="77777777" w:rsidR="004F5651" w:rsidRPr="009248B6" w:rsidRDefault="004F5651" w:rsidP="009C12E8">
            <w:pPr>
              <w:spacing w:after="120"/>
              <w:rPr>
                <w:rFonts w:ascii="Helvetica" w:hAnsi="Helvetica"/>
                <w:bCs/>
              </w:rPr>
            </w:pPr>
          </w:p>
        </w:tc>
        <w:tc>
          <w:tcPr>
            <w:tcW w:w="3072" w:type="dxa"/>
            <w:shd w:val="clear" w:color="auto" w:fill="auto"/>
          </w:tcPr>
          <w:p w14:paraId="5EB031D5" w14:textId="77777777" w:rsidR="004F5651" w:rsidRPr="009248B6" w:rsidRDefault="004F5651" w:rsidP="009C12E8">
            <w:pPr>
              <w:spacing w:after="120"/>
              <w:rPr>
                <w:rFonts w:ascii="Helvetica" w:hAnsi="Helvetica"/>
                <w:bCs/>
              </w:rPr>
            </w:pPr>
          </w:p>
        </w:tc>
      </w:tr>
      <w:tr w:rsidR="004F5651" w:rsidRPr="009248B6" w14:paraId="2CEA0770" w14:textId="77777777" w:rsidTr="009C12E8">
        <w:tc>
          <w:tcPr>
            <w:tcW w:w="3652" w:type="dxa"/>
            <w:vMerge/>
            <w:shd w:val="clear" w:color="auto" w:fill="auto"/>
          </w:tcPr>
          <w:p w14:paraId="1BC3EF64" w14:textId="77777777" w:rsidR="004F5651" w:rsidRPr="009248B6" w:rsidRDefault="004F5651" w:rsidP="009C12E8">
            <w:pPr>
              <w:spacing w:after="120"/>
              <w:rPr>
                <w:rFonts w:ascii="Helvetica" w:hAnsi="Helvetica"/>
                <w:bCs/>
              </w:rPr>
            </w:pPr>
          </w:p>
        </w:tc>
        <w:tc>
          <w:tcPr>
            <w:tcW w:w="2492" w:type="dxa"/>
            <w:shd w:val="clear" w:color="auto" w:fill="auto"/>
          </w:tcPr>
          <w:p w14:paraId="46C392B0" w14:textId="77777777" w:rsidR="004F5651" w:rsidRPr="009248B6" w:rsidRDefault="004F5651" w:rsidP="009C12E8">
            <w:pPr>
              <w:spacing w:after="120"/>
              <w:rPr>
                <w:rFonts w:ascii="Helvetica" w:hAnsi="Helvetica"/>
                <w:bCs/>
              </w:rPr>
            </w:pPr>
          </w:p>
        </w:tc>
        <w:tc>
          <w:tcPr>
            <w:tcW w:w="3072" w:type="dxa"/>
            <w:shd w:val="clear" w:color="auto" w:fill="auto"/>
          </w:tcPr>
          <w:p w14:paraId="57DF4F17" w14:textId="77777777" w:rsidR="004F5651" w:rsidRPr="009248B6" w:rsidRDefault="004F5651" w:rsidP="009C12E8">
            <w:pPr>
              <w:spacing w:after="120"/>
              <w:rPr>
                <w:rFonts w:ascii="Helvetica" w:hAnsi="Helvetica"/>
                <w:bCs/>
              </w:rPr>
            </w:pPr>
          </w:p>
        </w:tc>
      </w:tr>
    </w:tbl>
    <w:p w14:paraId="73776C6A" w14:textId="292C249D" w:rsidR="004F5651" w:rsidRDefault="004F5651">
      <w:pPr>
        <w:spacing w:after="0" w:line="240" w:lineRule="auto"/>
        <w:ind w:left="0" w:firstLine="0"/>
        <w:rPr>
          <w:b/>
          <w:u w:val="single" w:color="000000"/>
        </w:rPr>
      </w:pPr>
    </w:p>
    <w:p w14:paraId="0B52AE01" w14:textId="77777777" w:rsidR="004F5651" w:rsidRDefault="004F5651">
      <w:pPr>
        <w:spacing w:after="0" w:line="240" w:lineRule="auto"/>
        <w:ind w:left="0" w:firstLine="0"/>
        <w:rPr>
          <w:b/>
          <w:u w:val="single" w:color="000000"/>
        </w:rPr>
      </w:pPr>
      <w:r>
        <w:rPr>
          <w:b/>
          <w:u w:val="single" w:color="000000"/>
        </w:rPr>
        <w:br w:type="page"/>
      </w:r>
    </w:p>
    <w:p w14:paraId="3233939F" w14:textId="330C1F02" w:rsidR="00FD48D5" w:rsidRDefault="004F5651">
      <w:pPr>
        <w:spacing w:after="257" w:line="259" w:lineRule="auto"/>
        <w:ind w:left="21" w:firstLine="0"/>
        <w:jc w:val="center"/>
      </w:pPr>
      <w:r>
        <w:rPr>
          <w:b/>
          <w:u w:val="single" w:color="000000"/>
        </w:rPr>
        <w:lastRenderedPageBreak/>
        <w:t xml:space="preserve">Dent with Cowgill </w:t>
      </w:r>
      <w:r>
        <w:rPr>
          <w:b/>
          <w:u w:val="single" w:color="000000"/>
        </w:rPr>
        <w:t>Parish Council  - Planning Policy regarding holiday lets</w:t>
      </w:r>
      <w:r>
        <w:rPr>
          <w:b/>
        </w:rPr>
        <w:t xml:space="preserve"> </w:t>
      </w:r>
    </w:p>
    <w:p w14:paraId="113BEB60" w14:textId="064AC143" w:rsidR="00FD48D5" w:rsidRDefault="00FD48D5">
      <w:pPr>
        <w:spacing w:after="262" w:line="259" w:lineRule="auto"/>
        <w:ind w:left="98" w:firstLine="0"/>
        <w:jc w:val="center"/>
      </w:pPr>
    </w:p>
    <w:p w14:paraId="42C17666" w14:textId="77777777" w:rsidR="00FD48D5" w:rsidRDefault="004F5651">
      <w:pPr>
        <w:ind w:left="-5"/>
      </w:pPr>
      <w:r>
        <w:t>In respect of applications for planning, the Parish Council will not support any applications for holiday lets (that is those properties which are let on a short-term basis for profit) in Dentdale as it believes that the current number of such properties i</w:t>
      </w:r>
      <w:r>
        <w:t xml:space="preserve">s excessive. </w:t>
      </w:r>
    </w:p>
    <w:p w14:paraId="12E80D8F" w14:textId="77777777" w:rsidR="00FD48D5" w:rsidRDefault="004F5651">
      <w:pPr>
        <w:ind w:left="-5"/>
      </w:pPr>
      <w:r>
        <w:t>The number of holiday lets is reducing the number of opportunities for affordable and local occupancy dwellings (i.e. those that are permanently occupied by residents of the dale) which will eventually result in a reduction in the permanent p</w:t>
      </w:r>
      <w:r>
        <w:t xml:space="preserve">opulation of the dale and the demise of the primary school and the few businesses that remain.   </w:t>
      </w:r>
    </w:p>
    <w:p w14:paraId="6B5CED01" w14:textId="77777777" w:rsidR="00FD48D5" w:rsidRDefault="004F5651">
      <w:pPr>
        <w:ind w:left="-5"/>
      </w:pPr>
      <w:r>
        <w:t>The basis of this policy is the preservation of the community in Dent and takes into account the following policies from the Yorkshire Dales National Park Loc</w:t>
      </w:r>
      <w:r>
        <w:t xml:space="preserve">al Plan: </w:t>
      </w:r>
    </w:p>
    <w:p w14:paraId="66FD3932" w14:textId="77777777" w:rsidR="00FD48D5" w:rsidRDefault="004F5651">
      <w:pPr>
        <w:ind w:left="-5"/>
      </w:pPr>
      <w:r>
        <w:t xml:space="preserve"> SP1 </w:t>
      </w:r>
    </w:p>
    <w:p w14:paraId="1B881A7E" w14:textId="77777777" w:rsidR="00FD48D5" w:rsidRDefault="004F5651">
      <w:pPr>
        <w:ind w:left="-5"/>
      </w:pPr>
      <w:r>
        <w:t xml:space="preserve">Development will be deemed to be unsustainable if it would reduce:  </w:t>
      </w:r>
    </w:p>
    <w:p w14:paraId="4F6D19C1" w14:textId="77777777" w:rsidR="00FD48D5" w:rsidRDefault="004F5651">
      <w:pPr>
        <w:numPr>
          <w:ilvl w:val="0"/>
          <w:numId w:val="1"/>
        </w:numPr>
        <w:ind w:hanging="345"/>
      </w:pPr>
      <w:r>
        <w:t xml:space="preserve">the health and well-being of local </w:t>
      </w:r>
      <w:proofErr w:type="gramStart"/>
      <w:r>
        <w:t>communities;</w:t>
      </w:r>
      <w:proofErr w:type="gramEnd"/>
      <w:r>
        <w:t xml:space="preserve">  </w:t>
      </w:r>
    </w:p>
    <w:p w14:paraId="630DC9D2" w14:textId="77777777" w:rsidR="004F5651" w:rsidRDefault="004F5651" w:rsidP="004F5651">
      <w:pPr>
        <w:numPr>
          <w:ilvl w:val="0"/>
          <w:numId w:val="1"/>
        </w:numPr>
        <w:spacing w:after="0"/>
        <w:ind w:left="426" w:hanging="426"/>
      </w:pPr>
      <w:r>
        <w:t>the diversity, quality and local distinctiveness of the natural and cultural landscape, wildlife, historic environment or</w:t>
      </w:r>
      <w:r>
        <w:t xml:space="preserve"> other special qualities of the National</w:t>
      </w:r>
    </w:p>
    <w:p w14:paraId="43F7CA79" w14:textId="77777777" w:rsidR="004F5651" w:rsidRDefault="004F5651" w:rsidP="004F5651">
      <w:pPr>
        <w:spacing w:after="0"/>
        <w:ind w:left="426" w:firstLine="0"/>
      </w:pPr>
      <w:r>
        <w:t>Park</w:t>
      </w:r>
    </w:p>
    <w:p w14:paraId="3F79A91E" w14:textId="7EB013E2" w:rsidR="00FD48D5" w:rsidRDefault="004F5651" w:rsidP="004F5651">
      <w:pPr>
        <w:spacing w:after="0"/>
        <w:ind w:left="426" w:firstLine="0"/>
      </w:pPr>
      <w:r>
        <w:t xml:space="preserve">  </w:t>
      </w:r>
    </w:p>
    <w:p w14:paraId="3959C1EF" w14:textId="77777777" w:rsidR="00FD48D5" w:rsidRDefault="004F5651">
      <w:pPr>
        <w:numPr>
          <w:ilvl w:val="0"/>
          <w:numId w:val="1"/>
        </w:numPr>
        <w:ind w:hanging="345"/>
      </w:pPr>
      <w:r>
        <w:t xml:space="preserve">the strength, diversity or vitality of the local </w:t>
      </w:r>
      <w:proofErr w:type="gramStart"/>
      <w:r>
        <w:t>economy;</w:t>
      </w:r>
      <w:proofErr w:type="gramEnd"/>
      <w:r>
        <w:t xml:space="preserve">  </w:t>
      </w:r>
    </w:p>
    <w:p w14:paraId="4371C617" w14:textId="77777777" w:rsidR="00FD48D5" w:rsidRDefault="004F5651">
      <w:pPr>
        <w:numPr>
          <w:ilvl w:val="0"/>
          <w:numId w:val="1"/>
        </w:numPr>
        <w:ind w:hanging="345"/>
      </w:pPr>
      <w:r>
        <w:t xml:space="preserve">the supply of housing to meet local </w:t>
      </w:r>
      <w:proofErr w:type="gramStart"/>
      <w:r>
        <w:t>needs;</w:t>
      </w:r>
      <w:proofErr w:type="gramEnd"/>
      <w:r>
        <w:t xml:space="preserve">  </w:t>
      </w:r>
    </w:p>
    <w:p w14:paraId="7EC93924" w14:textId="77777777" w:rsidR="00FD48D5" w:rsidRDefault="004F5651">
      <w:pPr>
        <w:numPr>
          <w:ilvl w:val="0"/>
          <w:numId w:val="1"/>
        </w:numPr>
        <w:ind w:hanging="345"/>
      </w:pPr>
      <w:r>
        <w:t xml:space="preserve">access to local services and community facilities. </w:t>
      </w:r>
    </w:p>
    <w:p w14:paraId="08A223A6" w14:textId="77777777" w:rsidR="00FD48D5" w:rsidRDefault="004F5651">
      <w:pPr>
        <w:ind w:left="-5"/>
      </w:pPr>
      <w:r>
        <w:t xml:space="preserve">SP2 </w:t>
      </w:r>
    </w:p>
    <w:p w14:paraId="4F3E5DA9" w14:textId="77777777" w:rsidR="00FD48D5" w:rsidRDefault="004F5651">
      <w:pPr>
        <w:ind w:left="-5"/>
      </w:pPr>
      <w:r>
        <w:t xml:space="preserve">Development will be permitted that furthers </w:t>
      </w:r>
      <w:r>
        <w:t xml:space="preserve">the statutory National Park purposes of: </w:t>
      </w:r>
    </w:p>
    <w:p w14:paraId="269C0BBD" w14:textId="77777777" w:rsidR="00FD48D5" w:rsidRDefault="004F5651">
      <w:pPr>
        <w:numPr>
          <w:ilvl w:val="0"/>
          <w:numId w:val="2"/>
        </w:numPr>
        <w:ind w:hanging="280"/>
      </w:pPr>
      <w:r>
        <w:t xml:space="preserve">conserving and enhancing natural beauty, wildlife and cultural </w:t>
      </w:r>
      <w:proofErr w:type="gramStart"/>
      <w:r>
        <w:t>heritage;</w:t>
      </w:r>
      <w:proofErr w:type="gramEnd"/>
      <w:r>
        <w:t xml:space="preserve">  </w:t>
      </w:r>
    </w:p>
    <w:p w14:paraId="4B7B285A" w14:textId="77777777" w:rsidR="00FD48D5" w:rsidRDefault="004F5651">
      <w:pPr>
        <w:numPr>
          <w:ilvl w:val="0"/>
          <w:numId w:val="2"/>
        </w:numPr>
        <w:ind w:hanging="280"/>
      </w:pPr>
      <w:r>
        <w:t xml:space="preserve">promoting opportunities for the understanding and enjoyment of the special qualities of the National Park by the public. </w:t>
      </w:r>
    </w:p>
    <w:p w14:paraId="4EC7E49A" w14:textId="77777777" w:rsidR="00FD48D5" w:rsidRDefault="004F5651">
      <w:pPr>
        <w:spacing w:after="0" w:line="259" w:lineRule="auto"/>
        <w:ind w:left="0" w:firstLine="0"/>
      </w:pPr>
      <w:r>
        <w:t xml:space="preserve"> </w:t>
      </w:r>
    </w:p>
    <w:sectPr w:rsidR="00FD48D5">
      <w:pgSz w:w="11905" w:h="16840"/>
      <w:pgMar w:top="1440" w:right="1472" w:bottom="1440" w:left="144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2B3EB3"/>
    <w:multiLevelType w:val="hybridMultilevel"/>
    <w:tmpl w:val="553C5BE4"/>
    <w:lvl w:ilvl="0" w:tplc="C0088468">
      <w:start w:val="10"/>
      <w:numFmt w:val="lowerLetter"/>
      <w:lvlText w:val="%1)"/>
      <w:lvlJc w:val="left"/>
      <w:pPr>
        <w:ind w:left="3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092175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3563D4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394404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B9890C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58292F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ED093E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03EDDE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358FCB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7F934BB"/>
    <w:multiLevelType w:val="hybridMultilevel"/>
    <w:tmpl w:val="44AE50E4"/>
    <w:lvl w:ilvl="0" w:tplc="BDDC450E">
      <w:start w:val="1"/>
      <w:numFmt w:val="lowerLetter"/>
      <w:lvlText w:val="%1)"/>
      <w:lvlJc w:val="left"/>
      <w:pPr>
        <w:ind w:left="2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764E5A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D426FE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434234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842ED4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F0C953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D9C19A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3FCEB5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AB48EB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8D5"/>
    <w:rsid w:val="004F5651"/>
    <w:rsid w:val="00FD48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98BEC95"/>
  <w15:docId w15:val="{306EC0DA-6F84-694A-952B-03DAA2818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71" w:line="249" w:lineRule="auto"/>
      <w:ind w:left="45" w:hanging="10"/>
    </w:pPr>
    <w:rPr>
      <w:rFonts w:ascii="Arial" w:eastAsia="Arial" w:hAnsi="Arial" w:cs="Arial"/>
      <w:color w:val="000000"/>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257</Words>
  <Characters>1471</Characters>
  <Application>Microsoft Office Word</Application>
  <DocSecurity>0</DocSecurity>
  <Lines>12</Lines>
  <Paragraphs>3</Paragraphs>
  <ScaleCrop>false</ScaleCrop>
  <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Dent with Cowgill Parish Council</dc:creator>
  <cp:keywords/>
  <cp:lastModifiedBy>Scott Thornley</cp:lastModifiedBy>
  <cp:revision>2</cp:revision>
  <dcterms:created xsi:type="dcterms:W3CDTF">2021-05-18T15:15:00Z</dcterms:created>
  <dcterms:modified xsi:type="dcterms:W3CDTF">2021-05-18T15:15:00Z</dcterms:modified>
</cp:coreProperties>
</file>